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1B903" w14:textId="3F130BD2" w:rsidR="009925BF" w:rsidRDefault="009925BF" w:rsidP="009925BF">
      <w:pPr>
        <w:pStyle w:val="NormalWeb"/>
      </w:pPr>
      <w:r>
        <w:rPr>
          <w:noProof/>
        </w:rPr>
        <w:drawing>
          <wp:inline distT="0" distB="0" distL="0" distR="0" wp14:anchorId="57152678" wp14:editId="58B95A91">
            <wp:extent cx="5943600" cy="4457700"/>
            <wp:effectExtent l="0" t="0" r="0" b="0"/>
            <wp:docPr id="1862202415" name="Picture 18622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7BA01D1" w14:textId="3B1E07E5" w:rsidR="008F38F7" w:rsidRPr="00B8603E" w:rsidRDefault="00B8603E" w:rsidP="008F38F7">
      <w:pPr>
        <w:spacing w:after="0" w:line="360" w:lineRule="auto"/>
        <w:rPr>
          <w:rFonts w:ascii="Sennheiser Office" w:eastAsia="Sennheiser Office" w:hAnsi="Sennheiser Office" w:cs="Times New Roman"/>
          <w:b/>
          <w:color w:val="0095D5"/>
          <w:sz w:val="18"/>
          <w:lang w:val="fr-FR"/>
        </w:rPr>
      </w:pPr>
      <w:r w:rsidRPr="00B8603E">
        <w:rPr>
          <w:rFonts w:ascii="Sennheiser Office" w:eastAsia="Sennheiser Office" w:hAnsi="Sennheiser Office" w:cs="Times New Roman"/>
          <w:b/>
          <w:bCs/>
          <w:color w:val="0095D5"/>
          <w:sz w:val="18"/>
          <w:lang w:val="fr-FR"/>
        </w:rPr>
        <w:t xml:space="preserve">L'Université Carleton actualise sa stratégie d'apprentissage hybride avec le Sennheiser </w:t>
      </w:r>
      <w:proofErr w:type="spellStart"/>
      <w:r w:rsidRPr="00B8603E">
        <w:rPr>
          <w:rFonts w:ascii="Sennheiser Office" w:eastAsia="Sennheiser Office" w:hAnsi="Sennheiser Office" w:cs="Times New Roman"/>
          <w:b/>
          <w:bCs/>
          <w:color w:val="0095D5"/>
          <w:sz w:val="18"/>
          <w:lang w:val="fr-FR"/>
        </w:rPr>
        <w:t>TeamConnect</w:t>
      </w:r>
      <w:proofErr w:type="spellEnd"/>
      <w:r w:rsidRPr="00B8603E">
        <w:rPr>
          <w:rFonts w:ascii="Sennheiser Office" w:eastAsia="Sennheiser Office" w:hAnsi="Sennheiser Office" w:cs="Times New Roman"/>
          <w:b/>
          <w:bCs/>
          <w:color w:val="0095D5"/>
          <w:sz w:val="18"/>
          <w:lang w:val="fr-FR"/>
        </w:rPr>
        <w:t xml:space="preserve"> </w:t>
      </w:r>
      <w:proofErr w:type="spellStart"/>
      <w:r w:rsidRPr="00B8603E">
        <w:rPr>
          <w:rFonts w:ascii="Sennheiser Office" w:eastAsia="Sennheiser Office" w:hAnsi="Sennheiser Office" w:cs="Times New Roman"/>
          <w:b/>
          <w:bCs/>
          <w:color w:val="0095D5"/>
          <w:sz w:val="18"/>
          <w:lang w:val="fr-FR"/>
        </w:rPr>
        <w:t>Ceiling</w:t>
      </w:r>
      <w:proofErr w:type="spellEnd"/>
      <w:r w:rsidRPr="00B8603E">
        <w:rPr>
          <w:rFonts w:ascii="Sennheiser Office" w:eastAsia="Sennheiser Office" w:hAnsi="Sennheiser Office" w:cs="Times New Roman"/>
          <w:b/>
          <w:bCs/>
          <w:color w:val="0095D5"/>
          <w:sz w:val="18"/>
          <w:lang w:val="fr-FR"/>
        </w:rPr>
        <w:t xml:space="preserve"> 2.</w:t>
      </w:r>
    </w:p>
    <w:p w14:paraId="65E49367" w14:textId="56418F61" w:rsidR="008F38F7" w:rsidRPr="00B8603E" w:rsidRDefault="00B8603E" w:rsidP="00B8603E">
      <w:pPr>
        <w:spacing w:after="0" w:line="360" w:lineRule="auto"/>
        <w:rPr>
          <w:rFonts w:ascii="Sennheiser Office" w:eastAsia="Sennheiser Office" w:hAnsi="Sennheiser Office" w:cs="Times New Roman"/>
          <w:b/>
          <w:bCs/>
          <w:sz w:val="18"/>
          <w:lang w:val="fr-FR"/>
        </w:rPr>
      </w:pPr>
      <w:r w:rsidRPr="00B8603E">
        <w:rPr>
          <w:rFonts w:ascii="Sennheiser Office" w:eastAsia="Sennheiser Office" w:hAnsi="Sennheiser Office" w:cs="Times New Roman"/>
          <w:b/>
          <w:bCs/>
          <w:sz w:val="18"/>
          <w:lang w:val="fr-FR"/>
        </w:rPr>
        <w:t xml:space="preserve">L'université a déployé 43 microphones </w:t>
      </w:r>
      <w:proofErr w:type="spellStart"/>
      <w:r w:rsidRPr="00B8603E">
        <w:rPr>
          <w:rFonts w:ascii="Sennheiser Office" w:eastAsia="Sennheiser Office" w:hAnsi="Sennheiser Office" w:cs="Times New Roman"/>
          <w:b/>
          <w:bCs/>
          <w:sz w:val="18"/>
          <w:lang w:val="fr-FR"/>
        </w:rPr>
        <w:t>TeamConnect</w:t>
      </w:r>
      <w:proofErr w:type="spellEnd"/>
      <w:r w:rsidRPr="00B8603E">
        <w:rPr>
          <w:rFonts w:ascii="Sennheiser Office" w:eastAsia="Sennheiser Office" w:hAnsi="Sennheiser Office" w:cs="Times New Roman"/>
          <w:b/>
          <w:bCs/>
          <w:sz w:val="18"/>
          <w:lang w:val="fr-FR"/>
        </w:rPr>
        <w:t xml:space="preserve"> </w:t>
      </w:r>
      <w:proofErr w:type="spellStart"/>
      <w:r w:rsidRPr="00B8603E">
        <w:rPr>
          <w:rFonts w:ascii="Sennheiser Office" w:eastAsia="Sennheiser Office" w:hAnsi="Sennheiser Office" w:cs="Times New Roman"/>
          <w:b/>
          <w:bCs/>
          <w:sz w:val="18"/>
          <w:lang w:val="fr-FR"/>
        </w:rPr>
        <w:t>Ceiling</w:t>
      </w:r>
      <w:proofErr w:type="spellEnd"/>
      <w:r w:rsidRPr="00B8603E">
        <w:rPr>
          <w:rFonts w:ascii="Sennheiser Office" w:eastAsia="Sennheiser Office" w:hAnsi="Sennheiser Office" w:cs="Times New Roman"/>
          <w:b/>
          <w:bCs/>
          <w:sz w:val="18"/>
          <w:lang w:val="fr-FR"/>
        </w:rPr>
        <w:t xml:space="preserve"> 2 à travers le campus pour faciliter l'apprentissage hybride et la collaboration de pointe, y compris dans la salle historique du Sénat.</w:t>
      </w:r>
    </w:p>
    <w:p w14:paraId="310D6EE5" w14:textId="5DAAC43B" w:rsidR="000D4042" w:rsidRPr="00B8603E" w:rsidRDefault="008F38F7" w:rsidP="00AB7E86">
      <w:pPr>
        <w:pStyle w:val="NormalWeb"/>
        <w:spacing w:line="360" w:lineRule="auto"/>
        <w:rPr>
          <w:rFonts w:ascii="Sennheiser Office" w:eastAsia="Sennheiser Office" w:hAnsi="Sennheiser Office"/>
          <w:sz w:val="18"/>
          <w:lang w:val="fr-FR"/>
        </w:rPr>
      </w:pPr>
      <w:r w:rsidRPr="00B8603E">
        <w:rPr>
          <w:rFonts w:ascii="Sennheiser Office" w:eastAsia="Sennheiser Office" w:hAnsi="Sennheiser Office"/>
          <w:b/>
          <w:bCs/>
          <w:sz w:val="18"/>
          <w:lang w:val="fr-FR"/>
        </w:rPr>
        <w:t>Ottawa,</w:t>
      </w:r>
      <w:r w:rsidR="009102F5" w:rsidRPr="00B8603E">
        <w:rPr>
          <w:rFonts w:ascii="Sennheiser Office" w:eastAsia="Sennheiser Office" w:hAnsi="Sennheiser Office"/>
          <w:b/>
          <w:bCs/>
          <w:sz w:val="18"/>
          <w:lang w:val="fr-FR"/>
        </w:rPr>
        <w:t xml:space="preserve"> 22</w:t>
      </w:r>
      <w:r w:rsidR="00B8603E">
        <w:rPr>
          <w:rFonts w:ascii="Sennheiser Office" w:eastAsia="Sennheiser Office" w:hAnsi="Sennheiser Office"/>
          <w:b/>
          <w:bCs/>
          <w:sz w:val="18"/>
          <w:lang w:val="fr-FR"/>
        </w:rPr>
        <w:t xml:space="preserve"> </w:t>
      </w:r>
      <w:proofErr w:type="gramStart"/>
      <w:r w:rsidR="00B8603E">
        <w:rPr>
          <w:rFonts w:ascii="Sennheiser Office" w:eastAsia="Sennheiser Office" w:hAnsi="Sennheiser Office"/>
          <w:b/>
          <w:bCs/>
          <w:sz w:val="18"/>
          <w:lang w:val="fr-FR"/>
        </w:rPr>
        <w:t>Février</w:t>
      </w:r>
      <w:proofErr w:type="gramEnd"/>
      <w:r w:rsidRPr="00B8603E">
        <w:rPr>
          <w:rFonts w:ascii="Sennheiser Office" w:eastAsia="Sennheiser Office" w:hAnsi="Sennheiser Office"/>
          <w:b/>
          <w:bCs/>
          <w:sz w:val="18"/>
          <w:lang w:val="fr-FR"/>
        </w:rPr>
        <w:t>, 202</w:t>
      </w:r>
      <w:r w:rsidR="006960EA" w:rsidRPr="00B8603E">
        <w:rPr>
          <w:rFonts w:ascii="Sennheiser Office" w:eastAsia="Sennheiser Office" w:hAnsi="Sennheiser Office"/>
          <w:b/>
          <w:bCs/>
          <w:sz w:val="18"/>
          <w:lang w:val="fr-FR"/>
        </w:rPr>
        <w:t>4</w:t>
      </w:r>
      <w:r w:rsidRPr="00B8603E">
        <w:rPr>
          <w:rFonts w:ascii="Sennheiser Office" w:eastAsia="Sennheiser Office" w:hAnsi="Sennheiser Office"/>
          <w:b/>
          <w:bCs/>
          <w:sz w:val="18"/>
          <w:lang w:val="fr-FR"/>
        </w:rPr>
        <w:t xml:space="preserve"> –</w:t>
      </w:r>
      <w:r w:rsidR="00B8603E" w:rsidRPr="00B8603E">
        <w:rPr>
          <w:lang w:val="fr-FR"/>
        </w:rPr>
        <w:t xml:space="preserve"> </w:t>
      </w:r>
      <w:r w:rsidR="00B8603E" w:rsidRPr="00B8603E">
        <w:rPr>
          <w:rFonts w:ascii="Sennheiser Office" w:eastAsia="Sennheiser Office" w:hAnsi="Sennheiser Office"/>
          <w:b/>
          <w:bCs/>
          <w:sz w:val="18"/>
          <w:lang w:val="fr-FR"/>
        </w:rPr>
        <w:t xml:space="preserve">L'Université Carleton à Ottawa, Canada, a subi une rénovation totale pour moderniser sa salle du Sénat obsolète en un espace de réunion moderne équipé d'une technologie audiovisuelle </w:t>
      </w:r>
      <w:r w:rsidR="00F84716">
        <w:rPr>
          <w:rFonts w:ascii="Sennheiser Office" w:eastAsia="Sennheiser Office" w:hAnsi="Sennheiser Office"/>
          <w:b/>
          <w:bCs/>
          <w:sz w:val="18"/>
          <w:lang w:val="fr-FR"/>
        </w:rPr>
        <w:t>premium</w:t>
      </w:r>
      <w:r w:rsidR="00B8603E" w:rsidRPr="00B8603E">
        <w:rPr>
          <w:rFonts w:ascii="Sennheiser Office" w:eastAsia="Sennheiser Office" w:hAnsi="Sennheiser Office"/>
          <w:b/>
          <w:bCs/>
          <w:sz w:val="18"/>
          <w:lang w:val="fr-FR"/>
        </w:rPr>
        <w:t xml:space="preserve">, mettant en vedette des solutions audio supérieures de Sennheiser. L'université a choisi les microphones </w:t>
      </w:r>
      <w:proofErr w:type="spellStart"/>
      <w:r w:rsidR="00B8603E" w:rsidRPr="00B8603E">
        <w:rPr>
          <w:rFonts w:ascii="Sennheiser Office" w:eastAsia="Sennheiser Office" w:hAnsi="Sennheiser Office"/>
          <w:b/>
          <w:bCs/>
          <w:sz w:val="18"/>
          <w:lang w:val="fr-FR"/>
        </w:rPr>
        <w:t>TeamConnect</w:t>
      </w:r>
      <w:proofErr w:type="spellEnd"/>
      <w:r w:rsidR="00B8603E" w:rsidRPr="00B8603E">
        <w:rPr>
          <w:rFonts w:ascii="Sennheiser Office" w:eastAsia="Sennheiser Office" w:hAnsi="Sennheiser Office"/>
          <w:b/>
          <w:bCs/>
          <w:sz w:val="18"/>
          <w:lang w:val="fr-FR"/>
        </w:rPr>
        <w:t xml:space="preserve"> </w:t>
      </w:r>
      <w:proofErr w:type="spellStart"/>
      <w:r w:rsidR="00B8603E" w:rsidRPr="00B8603E">
        <w:rPr>
          <w:rFonts w:ascii="Sennheiser Office" w:eastAsia="Sennheiser Office" w:hAnsi="Sennheiser Office"/>
          <w:b/>
          <w:bCs/>
          <w:sz w:val="18"/>
          <w:lang w:val="fr-FR"/>
        </w:rPr>
        <w:t>Ceiling</w:t>
      </w:r>
      <w:proofErr w:type="spellEnd"/>
      <w:r w:rsidR="00B8603E" w:rsidRPr="00B8603E">
        <w:rPr>
          <w:rFonts w:ascii="Sennheiser Office" w:eastAsia="Sennheiser Office" w:hAnsi="Sennheiser Office"/>
          <w:b/>
          <w:bCs/>
          <w:sz w:val="18"/>
          <w:lang w:val="fr-FR"/>
        </w:rPr>
        <w:t xml:space="preserve"> 2 (TCC 2) de Sennheiser pour créer un environnement fluide pour les réunions du Sénat et les conférences. La facilité de déploiement des microphones au plafond et leur capacité à capturer un audio de haute qualité de n'importe où dans la salle ont entraîné le déploiement supplémentaire de 37 TCC 2 à travers l'université pour faciliter l'apprentissage hybride.</w:t>
      </w:r>
      <w:r w:rsidRPr="00B8603E">
        <w:rPr>
          <w:rFonts w:ascii="Sennheiser Office" w:eastAsia="Sennheiser Office" w:hAnsi="Sennheiser Office"/>
          <w:sz w:val="18"/>
          <w:lang w:val="fr-FR"/>
        </w:rPr>
        <w:br/>
      </w:r>
      <w:r w:rsidRPr="00B8603E">
        <w:rPr>
          <w:rFonts w:ascii="Sennheiser Office" w:eastAsia="Sennheiser Office" w:hAnsi="Sennheiser Office"/>
          <w:sz w:val="18"/>
          <w:lang w:val="fr-FR"/>
        </w:rPr>
        <w:br/>
      </w:r>
      <w:r w:rsidR="00B8603E" w:rsidRPr="00B8603E">
        <w:rPr>
          <w:rFonts w:ascii="Sennheiser Office" w:eastAsia="Sennheiser Office" w:hAnsi="Sennheiser Office"/>
          <w:sz w:val="18"/>
          <w:lang w:val="fr-FR"/>
        </w:rPr>
        <w:t xml:space="preserve">Jusqu'à récemment, le campus de 150 acres de l'Université Carleton abritait une salle du Sénat démodée, </w:t>
      </w:r>
      <w:r w:rsidR="00F84716">
        <w:rPr>
          <w:rFonts w:ascii="Sennheiser Office" w:eastAsia="Sennheiser Office" w:hAnsi="Sennheiser Office"/>
          <w:sz w:val="18"/>
          <w:lang w:val="fr-FR"/>
        </w:rPr>
        <w:t>U</w:t>
      </w:r>
      <w:r w:rsidR="00B8603E" w:rsidRPr="00B8603E">
        <w:rPr>
          <w:rFonts w:ascii="Sennheiser Office" w:eastAsia="Sennheiser Office" w:hAnsi="Sennheiser Office"/>
          <w:sz w:val="18"/>
          <w:lang w:val="fr-FR"/>
        </w:rPr>
        <w:t xml:space="preserve">n lieu de rassemblement de longue date pour le corps académique supérieur de l'école, composé de professeurs, d'étudiants, d'anciens élèves et de l'administration supérieure. Avec une salle de 49 x 33 ½ </w:t>
      </w:r>
      <w:r w:rsidR="00761CE8" w:rsidRPr="00B8603E">
        <w:rPr>
          <w:rFonts w:ascii="Sennheiser Office" w:eastAsia="Sennheiser Office" w:hAnsi="Sennheiser Office"/>
          <w:sz w:val="18"/>
          <w:lang w:val="fr-FR"/>
        </w:rPr>
        <w:t>pieds inchangés</w:t>
      </w:r>
      <w:r w:rsidR="00B8603E" w:rsidRPr="00B8603E">
        <w:rPr>
          <w:rFonts w:ascii="Sennheiser Office" w:eastAsia="Sennheiser Office" w:hAnsi="Sennheiser Office"/>
          <w:sz w:val="18"/>
          <w:lang w:val="fr-FR"/>
        </w:rPr>
        <w:t xml:space="preserve"> </w:t>
      </w:r>
      <w:r w:rsidR="00B8603E" w:rsidRPr="00B8603E">
        <w:rPr>
          <w:rFonts w:ascii="Sennheiser Office" w:eastAsia="Sennheiser Office" w:hAnsi="Sennheiser Office"/>
          <w:sz w:val="18"/>
          <w:lang w:val="fr-FR"/>
        </w:rPr>
        <w:lastRenderedPageBreak/>
        <w:t>depuis la fin des années 60, les parties prenantes de l'université ont reconnu la nécessité de rafraîchir la salle à la fois esthétiquement et fonctionnellement. Un architecte a été appelé pour moderniser l'aspect brut</w:t>
      </w:r>
      <w:r w:rsidR="00F84716">
        <w:rPr>
          <w:rFonts w:ascii="Sennheiser Office" w:eastAsia="Sennheiser Office" w:hAnsi="Sennheiser Office"/>
          <w:sz w:val="18"/>
          <w:lang w:val="fr-FR"/>
        </w:rPr>
        <w:t>,</w:t>
      </w:r>
      <w:r w:rsidR="00B8603E" w:rsidRPr="00B8603E">
        <w:rPr>
          <w:rFonts w:ascii="Sennheiser Office" w:eastAsia="Sennheiser Office" w:hAnsi="Sennheiser Office"/>
          <w:sz w:val="18"/>
          <w:lang w:val="fr-FR"/>
        </w:rPr>
        <w:t xml:space="preserve"> avec du béton exposé et des plafonds sombres. Armand Doucet, spécialiste AV à l'université, a été consulté pour ajouter une technologie audiovisuelle de pointe à l'espace.</w:t>
      </w:r>
      <w:r w:rsidRPr="00B8603E">
        <w:rPr>
          <w:rFonts w:ascii="Sennheiser Office" w:eastAsia="Sennheiser Office" w:hAnsi="Sennheiser Office"/>
          <w:sz w:val="18"/>
          <w:lang w:val="fr-FR"/>
        </w:rPr>
        <w:t xml:space="preserve">  </w:t>
      </w:r>
      <w:r w:rsidRPr="00B8603E">
        <w:rPr>
          <w:rFonts w:ascii="Sennheiser Office" w:eastAsia="Sennheiser Office" w:hAnsi="Sennheiser Office"/>
          <w:sz w:val="18"/>
          <w:lang w:val="fr-FR"/>
        </w:rPr>
        <w:br/>
      </w:r>
      <w:r w:rsidRPr="00B8603E">
        <w:rPr>
          <w:rFonts w:ascii="Sennheiser Office" w:eastAsia="Sennheiser Office" w:hAnsi="Sennheiser Office"/>
          <w:sz w:val="18"/>
          <w:lang w:val="fr-FR"/>
        </w:rPr>
        <w:br/>
      </w:r>
      <w:r w:rsidR="00B8603E" w:rsidRPr="00B8603E">
        <w:rPr>
          <w:rFonts w:ascii="Sennheiser Office" w:eastAsia="Sennheiser Office" w:hAnsi="Sennheiser Office"/>
          <w:sz w:val="18"/>
          <w:lang w:val="fr-FR"/>
        </w:rPr>
        <w:t>La salle du Sénat avait traversé plusieurs itérations technologiques, avec pour objectif ultime de créer une salle pouvant accueillir de 60 à 80 personnes lors de conférences audio. Armand avait besoin d'un espace multifonctionnel où le Sénat de l'école pourrait se réunir et remplir efficacement ses responsabilités de gouvernance, et où les étudiants et les professeurs pourraient réserver un espace dédié tout au long de l'année pour diverses petites conférences.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D4042" w14:paraId="53D3D0D5" w14:textId="77777777" w:rsidTr="00AB7E86">
        <w:tc>
          <w:tcPr>
            <w:tcW w:w="9360" w:type="dxa"/>
          </w:tcPr>
          <w:p w14:paraId="54E6FE0C" w14:textId="56146D9D" w:rsidR="000D4042" w:rsidRDefault="000D4042" w:rsidP="00AB7E86">
            <w:pPr>
              <w:spacing w:line="360" w:lineRule="auto"/>
              <w:rPr>
                <w:rFonts w:ascii="Sennheiser Office" w:eastAsia="Sennheiser Office" w:hAnsi="Sennheiser Office" w:cs="Times New Roman"/>
                <w:sz w:val="18"/>
              </w:rPr>
            </w:pPr>
            <w:r>
              <w:rPr>
                <w:noProof/>
              </w:rPr>
              <w:drawing>
                <wp:inline distT="0" distB="0" distL="0" distR="0" wp14:anchorId="68BE07E2" wp14:editId="1E814522">
                  <wp:extent cx="5943600" cy="4457700"/>
                  <wp:effectExtent l="0" t="0" r="0" b="0"/>
                  <wp:docPr id="1202494992" name="Picture 120249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tc>
      </w:tr>
      <w:tr w:rsidR="000D4042" w:rsidRPr="00B8603E" w14:paraId="0DDE26C0" w14:textId="77777777" w:rsidTr="00AB7E86">
        <w:tc>
          <w:tcPr>
            <w:tcW w:w="9360" w:type="dxa"/>
          </w:tcPr>
          <w:p w14:paraId="01E01DA6" w14:textId="293D9840" w:rsidR="000D4042" w:rsidRPr="00B8603E" w:rsidRDefault="00B8603E" w:rsidP="00AB7E86">
            <w:pPr>
              <w:spacing w:line="360" w:lineRule="auto"/>
              <w:rPr>
                <w:rFonts w:cstheme="minorHAnsi"/>
                <w:noProof/>
                <w:sz w:val="15"/>
                <w:szCs w:val="15"/>
                <w:lang w:val="fr-FR"/>
              </w:rPr>
            </w:pPr>
            <w:r w:rsidRPr="00B8603E">
              <w:rPr>
                <w:rFonts w:cstheme="minorHAnsi"/>
                <w:noProof/>
                <w:sz w:val="15"/>
                <w:szCs w:val="15"/>
                <w:lang w:val="fr-FR"/>
              </w:rPr>
              <w:t>La salle du Sénat récemment rénovée à l'Université Carleton est équipée de six microphones Sennheiser TeamConnect Ceiling 2 répartis dans toute la pièce.</w:t>
            </w:r>
          </w:p>
        </w:tc>
      </w:tr>
      <w:tr w:rsidR="005E6035" w:rsidRPr="000C1EDF" w14:paraId="128C41E0" w14:textId="77777777" w:rsidTr="00AB7E86">
        <w:trPr>
          <w:trHeight w:val="7119"/>
        </w:trPr>
        <w:tc>
          <w:tcPr>
            <w:tcW w:w="9360" w:type="dxa"/>
          </w:tcPr>
          <w:p w14:paraId="2F9467B9" w14:textId="07E6337D" w:rsidR="000C1EDF" w:rsidRDefault="00B8603E" w:rsidP="00B475AC">
            <w:pPr>
              <w:spacing w:line="360" w:lineRule="auto"/>
              <w:rPr>
                <w:rFonts w:ascii="Sennheiser Office" w:eastAsia="Sennheiser Office" w:hAnsi="Sennheiser Office"/>
                <w:sz w:val="18"/>
                <w:lang w:val="fr-FR"/>
              </w:rPr>
            </w:pPr>
            <w:r w:rsidRPr="00B8603E">
              <w:rPr>
                <w:rFonts w:ascii="Sennheiser Office" w:eastAsia="Sennheiser Office" w:hAnsi="Sennheiser Office"/>
                <w:sz w:val="18"/>
                <w:lang w:val="fr-FR"/>
              </w:rPr>
              <w:lastRenderedPageBreak/>
              <w:t>Armand a déclaré : "Le principe directeur de la refonte était d'avoir la technologie la moins invasive possible capable de capter des conversations n'importe où dans la salle. Il devait produire constamment un audio de haute qualité, sans nécessiter la présence d'un technicien audiovisuel sur place."</w:t>
            </w:r>
            <w:r w:rsidR="008F38F7" w:rsidRPr="00B8603E">
              <w:rPr>
                <w:rFonts w:ascii="Sennheiser Office" w:eastAsia="Sennheiser Office" w:hAnsi="Sennheiser Office"/>
                <w:sz w:val="18"/>
                <w:lang w:val="fr-FR"/>
              </w:rPr>
              <w:br/>
            </w:r>
            <w:r w:rsidR="008F38F7" w:rsidRPr="00B8603E">
              <w:rPr>
                <w:rFonts w:ascii="Sennheiser Office" w:eastAsia="Sennheiser Office" w:hAnsi="Sennheiser Office"/>
                <w:sz w:val="18"/>
                <w:lang w:val="fr-FR"/>
              </w:rPr>
              <w:br/>
            </w:r>
            <w:r w:rsidR="000C1EDF" w:rsidRPr="000C1EDF">
              <w:rPr>
                <w:rFonts w:ascii="Sennheiser Office" w:eastAsia="Sennheiser Office" w:hAnsi="Sennheiser Office"/>
                <w:sz w:val="18"/>
                <w:lang w:val="fr-FR"/>
              </w:rPr>
              <w:t xml:space="preserve">Après avoir testé plusieurs fournisseurs, Armand a décidé que le microphone TCC 2 de Sennheiser était la solution idéale pour rafraîchir la salle du Sénat. La technologie de formation de faisceau dynamique brevetée du TCC 2 capte tout l'audio dans une pièce et utilise un traitement numérique du signal pour localiser automatiquement et mettre en évidence le locuteur, peu importe où il se trouve, se tient </w:t>
            </w:r>
            <w:r w:rsidR="00F84716" w:rsidRPr="000C1EDF">
              <w:rPr>
                <w:rFonts w:ascii="Sennheiser Office" w:eastAsia="Sennheiser Office" w:hAnsi="Sennheiser Office"/>
                <w:sz w:val="18"/>
                <w:lang w:val="fr-FR"/>
              </w:rPr>
              <w:t>où</w:t>
            </w:r>
            <w:r w:rsidR="000C1EDF" w:rsidRPr="000C1EDF">
              <w:rPr>
                <w:rFonts w:ascii="Sennheiser Office" w:eastAsia="Sennheiser Office" w:hAnsi="Sennheiser Office"/>
                <w:sz w:val="18"/>
                <w:lang w:val="fr-FR"/>
              </w:rPr>
              <w:t xml:space="preserve"> se déplace.</w:t>
            </w:r>
            <w:r w:rsidR="008F38F7" w:rsidRPr="000C1EDF">
              <w:rPr>
                <w:rFonts w:ascii="Sennheiser Office" w:eastAsia="Sennheiser Office" w:hAnsi="Sennheiser Office"/>
                <w:sz w:val="18"/>
                <w:lang w:val="fr-FR"/>
              </w:rPr>
              <w:br/>
            </w:r>
            <w:r w:rsidR="008F38F7" w:rsidRPr="000C1EDF">
              <w:rPr>
                <w:rFonts w:ascii="Sennheiser Office" w:eastAsia="Sennheiser Office" w:hAnsi="Sennheiser Office"/>
                <w:sz w:val="18"/>
                <w:lang w:val="fr-FR"/>
              </w:rPr>
              <w:br/>
            </w:r>
            <w:r w:rsidR="000C1EDF" w:rsidRPr="000C1EDF">
              <w:rPr>
                <w:rFonts w:ascii="Sennheiser Office" w:eastAsia="Sennheiser Office" w:hAnsi="Sennheiser Office"/>
                <w:sz w:val="18"/>
                <w:lang w:val="fr-FR"/>
              </w:rPr>
              <w:t>Le choix s'est fait sur plusieurs facteurs, avec l'adaptabilité et la facilité d'utilisation en tête, en raison du petit effectif interne de l'université. Armand ajoute : "L'un des meilleurs aspects était que les TCC 2 étaient si faciles à déployer. Après avoir installé le plafond, nous avions simplement besoin des deux connecteurs. Ensuite, nous avons pu ouvrir le Cockpit de contrôle, et en moins d'une heure, nous avions un outil fonctionnel qui gérait facilement tout le bruit de la pièce." Avec des ressources limitées, il était également essentiel que les ingénieurs d'application technique de Sennheiser soient disponibles à chaque étape du processus, depuis les concepts de conception initiaux jusqu'à l'installation.</w:t>
            </w:r>
          </w:p>
          <w:p w14:paraId="2AE44733" w14:textId="25079964" w:rsidR="005E6035" w:rsidRPr="000C1EDF" w:rsidRDefault="008F38F7" w:rsidP="00B475AC">
            <w:pPr>
              <w:spacing w:line="360" w:lineRule="auto"/>
              <w:rPr>
                <w:rFonts w:ascii="Sennheiser Office" w:eastAsia="Sennheiser Office" w:hAnsi="Sennheiser Office" w:cs="Times New Roman"/>
                <w:sz w:val="18"/>
                <w:lang w:val="fr-FR"/>
              </w:rPr>
            </w:pPr>
            <w:r w:rsidRPr="000C1EDF">
              <w:rPr>
                <w:rFonts w:ascii="Sennheiser Office" w:eastAsia="Sennheiser Office" w:hAnsi="Sennheiser Office"/>
                <w:sz w:val="18"/>
                <w:lang w:val="fr-FR"/>
              </w:rPr>
              <w:br/>
            </w:r>
            <w:r w:rsidR="005E6035">
              <w:rPr>
                <w:noProof/>
              </w:rPr>
              <w:drawing>
                <wp:inline distT="0" distB="0" distL="0" distR="0" wp14:anchorId="77F0F275" wp14:editId="50117A78">
                  <wp:extent cx="4464050" cy="3348038"/>
                  <wp:effectExtent l="0" t="0" r="0" b="5080"/>
                  <wp:docPr id="1756816040" name="Picture 175681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8198" cy="3351149"/>
                          </a:xfrm>
                          <a:prstGeom prst="rect">
                            <a:avLst/>
                          </a:prstGeom>
                          <a:noFill/>
                          <a:ln>
                            <a:noFill/>
                          </a:ln>
                        </pic:spPr>
                      </pic:pic>
                    </a:graphicData>
                  </a:graphic>
                </wp:inline>
              </w:drawing>
            </w:r>
          </w:p>
        </w:tc>
      </w:tr>
      <w:tr w:rsidR="005E6035" w:rsidRPr="000C1EDF" w14:paraId="77C5309C" w14:textId="77777777" w:rsidTr="00AB7E86">
        <w:tc>
          <w:tcPr>
            <w:tcW w:w="9360" w:type="dxa"/>
          </w:tcPr>
          <w:p w14:paraId="29C7F9C1" w14:textId="4D4261F0" w:rsidR="005E6035" w:rsidRPr="000C1EDF" w:rsidRDefault="000C1EDF" w:rsidP="00B475AC">
            <w:pPr>
              <w:rPr>
                <w:rFonts w:cstheme="minorHAnsi"/>
                <w:noProof/>
                <w:sz w:val="15"/>
                <w:szCs w:val="15"/>
                <w:lang w:val="fr-FR"/>
              </w:rPr>
            </w:pPr>
            <w:r w:rsidRPr="000C1EDF">
              <w:rPr>
                <w:rFonts w:cstheme="minorHAnsi"/>
                <w:noProof/>
                <w:sz w:val="15"/>
                <w:szCs w:val="15"/>
                <w:lang w:val="fr-FR"/>
              </w:rPr>
              <w:t>L'université a choisi les microphones TeamConnect Ceiling 2 (TCC 2) de Sennheiser pour créer un environnement sans faille pour les réunions</w:t>
            </w:r>
            <w:r w:rsidR="003D196D">
              <w:rPr>
                <w:rFonts w:cstheme="minorHAnsi"/>
                <w:noProof/>
                <w:sz w:val="15"/>
                <w:szCs w:val="15"/>
                <w:lang w:val="fr-FR"/>
              </w:rPr>
              <w:t xml:space="preserve"> et les conférences</w:t>
            </w:r>
            <w:r w:rsidRPr="000C1EDF">
              <w:rPr>
                <w:rFonts w:cstheme="minorHAnsi"/>
                <w:noProof/>
                <w:sz w:val="15"/>
                <w:szCs w:val="15"/>
                <w:lang w:val="fr-FR"/>
              </w:rPr>
              <w:t xml:space="preserve"> du Sénat.</w:t>
            </w:r>
          </w:p>
        </w:tc>
      </w:tr>
    </w:tbl>
    <w:p w14:paraId="518DC7C4" w14:textId="261C0E37" w:rsidR="008F38F7" w:rsidRPr="00CD1259" w:rsidRDefault="008F38F7" w:rsidP="00CD1259">
      <w:pPr>
        <w:spacing w:line="360" w:lineRule="auto"/>
        <w:rPr>
          <w:rFonts w:ascii="Sennheiser Office" w:eastAsia="Sennheiser Office" w:hAnsi="Sennheiser Office" w:cs="Times New Roman"/>
          <w:sz w:val="18"/>
          <w:lang w:val="fr-FR"/>
        </w:rPr>
      </w:pPr>
      <w:r w:rsidRPr="000C1EDF">
        <w:rPr>
          <w:rFonts w:ascii="Sennheiser Office" w:eastAsia="Sennheiser Office" w:hAnsi="Sennheiser Office" w:cs="Times New Roman"/>
          <w:sz w:val="18"/>
          <w:lang w:val="fr-FR"/>
        </w:rPr>
        <w:br/>
      </w:r>
      <w:r w:rsidR="000C1EDF" w:rsidRPr="000C1EDF">
        <w:rPr>
          <w:rFonts w:ascii="Sennheiser Office" w:eastAsia="Sennheiser Office" w:hAnsi="Sennheiser Office" w:cs="Times New Roman"/>
          <w:sz w:val="18"/>
          <w:lang w:val="fr-FR"/>
        </w:rPr>
        <w:t xml:space="preserve">En l'espace d'une semaine, Armand et son équipe ont installé six TCC 2 dans les nouveaux puits de lumière conçus pour la salle du Sénat, créant ainsi un espace beau et fonctionnel. Grâce aux entrées et sorties </w:t>
      </w:r>
      <w:r w:rsidR="000C1EDF" w:rsidRPr="000C1EDF">
        <w:rPr>
          <w:rFonts w:ascii="Sennheiser Office" w:eastAsia="Sennheiser Office" w:hAnsi="Sennheiser Office" w:cs="Times New Roman"/>
          <w:sz w:val="18"/>
          <w:lang w:val="fr-FR"/>
        </w:rPr>
        <w:lastRenderedPageBreak/>
        <w:t>analogiques et numériques flexibles des TCC 2, Armand a pu utiliser les microphones en collaboration avec le nouveau processeur de signal numérique (DSP) QSC de la salle</w:t>
      </w:r>
      <w:r w:rsidR="000C1EDF">
        <w:rPr>
          <w:rFonts w:ascii="Sennheiser Office" w:eastAsia="Sennheiser Office" w:hAnsi="Sennheiser Office" w:cs="Times New Roman"/>
          <w:sz w:val="18"/>
          <w:lang w:val="fr-FR"/>
        </w:rPr>
        <w:t>.</w:t>
      </w:r>
      <w:r w:rsidRPr="000C1EDF">
        <w:rPr>
          <w:rFonts w:ascii="Sennheiser Office" w:eastAsia="Sennheiser Office" w:hAnsi="Sennheiser Office" w:cs="Times New Roman"/>
          <w:sz w:val="18"/>
          <w:lang w:val="fr-FR"/>
        </w:rPr>
        <w:t xml:space="preserve">  </w:t>
      </w:r>
      <w:r w:rsidRPr="000C1EDF">
        <w:rPr>
          <w:rFonts w:ascii="Sennheiser Office" w:eastAsia="Sennheiser Office" w:hAnsi="Sennheiser Office" w:cs="Times New Roman"/>
          <w:sz w:val="18"/>
          <w:lang w:val="fr-FR"/>
        </w:rPr>
        <w:br/>
      </w:r>
      <w:r w:rsidRPr="000C1EDF">
        <w:rPr>
          <w:rFonts w:ascii="Sennheiser Office" w:eastAsia="Sennheiser Office" w:hAnsi="Sennheiser Office" w:cs="Times New Roman"/>
          <w:sz w:val="18"/>
          <w:lang w:val="fr-FR"/>
        </w:rPr>
        <w:br/>
      </w:r>
      <w:r w:rsidR="00CD1259" w:rsidRPr="00CD1259">
        <w:rPr>
          <w:rFonts w:ascii="Sennheiser Office" w:eastAsia="Sennheiser Office" w:hAnsi="Sennheiser Office" w:cs="Times New Roman"/>
          <w:sz w:val="18"/>
          <w:lang w:val="fr-FR"/>
        </w:rPr>
        <w:t xml:space="preserve">Depuis le déploiement des TCC 2 dans la salle du Sénat, Armand a reçu des retours positifs de la part des membres du Sénat et des participants aux conférences. Armand déclare : "Je n'ai entendu que des avis positifs sur l'espace depuis la rénovation. Les TCC 2 couvrent facilement toute la salle. Lorsque le Sénat se réunit et que des personnes à l'arrière posent des questions, on les entend. Lorsque des personnes sont à l'avant, on les entend. Lorsqu'ils font des exposés dans la salle, </w:t>
      </w:r>
      <w:proofErr w:type="spellStart"/>
      <w:r w:rsidR="00CD1259" w:rsidRPr="00CD1259">
        <w:rPr>
          <w:rFonts w:ascii="Sennheiser Office" w:eastAsia="Sennheiser Office" w:hAnsi="Sennheiser Office" w:cs="Times New Roman"/>
          <w:sz w:val="18"/>
          <w:lang w:val="fr-FR"/>
        </w:rPr>
        <w:t>TruVoiceLift</w:t>
      </w:r>
      <w:proofErr w:type="spellEnd"/>
      <w:r w:rsidR="00CD1259" w:rsidRPr="00CD1259">
        <w:rPr>
          <w:rFonts w:ascii="Sennheiser Office" w:eastAsia="Sennheiser Office" w:hAnsi="Sennheiser Office" w:cs="Times New Roman"/>
          <w:sz w:val="18"/>
          <w:lang w:val="fr-FR"/>
        </w:rPr>
        <w:t xml:space="preserve"> garantit qu'ils s</w:t>
      </w:r>
      <w:r w:rsidR="003D196D">
        <w:rPr>
          <w:rFonts w:ascii="Sennheiser Office" w:eastAsia="Sennheiser Office" w:hAnsi="Sennheiser Office" w:cs="Times New Roman"/>
          <w:sz w:val="18"/>
          <w:lang w:val="fr-FR"/>
        </w:rPr>
        <w:t>oient</w:t>
      </w:r>
      <w:r w:rsidR="00CD1259" w:rsidRPr="00CD1259">
        <w:rPr>
          <w:rFonts w:ascii="Sennheiser Office" w:eastAsia="Sennheiser Office" w:hAnsi="Sennheiser Office" w:cs="Times New Roman"/>
          <w:sz w:val="18"/>
          <w:lang w:val="fr-FR"/>
        </w:rPr>
        <w:t xml:space="preserve"> entendus. Les TCC 2 ont enfin rendu l'espace fonctionnel et s'intègrent magnifiquement à la rénovation."</w:t>
      </w:r>
      <w:r w:rsidRPr="00CD1259">
        <w:rPr>
          <w:rFonts w:ascii="Sennheiser Office" w:eastAsia="Sennheiser Office" w:hAnsi="Sennheiser Office" w:cs="Times New Roman"/>
          <w:sz w:val="18"/>
          <w:lang w:val="fr-FR"/>
        </w:rPr>
        <w:br/>
      </w:r>
      <w:r w:rsidRPr="00CD1259">
        <w:rPr>
          <w:rFonts w:ascii="Sennheiser Office" w:eastAsia="Sennheiser Office" w:hAnsi="Sennheiser Office" w:cs="Times New Roman"/>
          <w:sz w:val="18"/>
          <w:lang w:val="fr-FR"/>
        </w:rPr>
        <w:br/>
      </w:r>
      <w:proofErr w:type="gramStart"/>
      <w:r w:rsidR="00CD1259">
        <w:rPr>
          <w:rFonts w:ascii="Sennheiser Office" w:eastAsia="Sennheiser Office" w:hAnsi="Sennheiser Office" w:cs="Times New Roman"/>
          <w:sz w:val="18"/>
          <w:lang w:val="fr-FR"/>
        </w:rPr>
        <w:t>S</w:t>
      </w:r>
      <w:r w:rsidR="00CD1259" w:rsidRPr="00CD1259">
        <w:rPr>
          <w:rFonts w:ascii="Sennheiser Office" w:eastAsia="Sennheiser Office" w:hAnsi="Sennheiser Office" w:cs="Times New Roman"/>
          <w:sz w:val="18"/>
          <w:lang w:val="fr-FR"/>
        </w:rPr>
        <w:t>uite à</w:t>
      </w:r>
      <w:proofErr w:type="gramEnd"/>
      <w:r w:rsidR="00CD1259" w:rsidRPr="00CD1259">
        <w:rPr>
          <w:rFonts w:ascii="Sennheiser Office" w:eastAsia="Sennheiser Office" w:hAnsi="Sennheiser Office" w:cs="Times New Roman"/>
          <w:sz w:val="18"/>
          <w:lang w:val="fr-FR"/>
        </w:rPr>
        <w:t xml:space="preserve"> l'installation réussie des TCC 2 dans la salle du Sénat, Armand a déployé des dizaines de microphones supplémentaires TCC 2 à travers le campus pour soutenir les laboratoires et les salles de séminaire. Ces déploiements sont intervenus à un moment crucial alors que l'université devait s'adapter rapidement pour soutenir l'apprentissage hybride. Avec un seul TCC 2 capable de couvrir une salle pouvant accueillir de 20 à 100 personnes, 43 microphones ont été installés dans cinq bâtiments pour accueillir des designs de sièges flexibles et des sessions de discussion.</w:t>
      </w:r>
      <w:r w:rsidRPr="00CD1259">
        <w:rPr>
          <w:rFonts w:ascii="Sennheiser Office" w:eastAsia="Sennheiser Office" w:hAnsi="Sennheiser Office" w:cs="Times New Roman"/>
          <w:sz w:val="18"/>
          <w:lang w:val="fr-FR"/>
        </w:rPr>
        <w:br/>
      </w:r>
      <w:r w:rsidRPr="00CD1259">
        <w:rPr>
          <w:rFonts w:ascii="Sennheiser Office" w:eastAsia="Sennheiser Office" w:hAnsi="Sennheiser Office" w:cs="Times New Roman"/>
          <w:sz w:val="18"/>
          <w:lang w:val="fr-FR"/>
        </w:rPr>
        <w:br/>
      </w:r>
      <w:r w:rsidR="00CD1259" w:rsidRPr="00CD1259">
        <w:rPr>
          <w:rFonts w:ascii="Sennheiser Office" w:eastAsia="Sennheiser Office" w:hAnsi="Sennheiser Office" w:cs="Times New Roman"/>
          <w:sz w:val="18"/>
          <w:lang w:val="fr-FR"/>
        </w:rPr>
        <w:t xml:space="preserve">À l'avenir, Armand prévoit de continuer à développer l'installation de l'Université Carleton avec Sennheiser. Il est impatient d'utiliser le </w:t>
      </w:r>
      <w:proofErr w:type="spellStart"/>
      <w:r w:rsidR="00CD1259" w:rsidRPr="00CD1259">
        <w:rPr>
          <w:rFonts w:ascii="Sennheiser Office" w:eastAsia="Sennheiser Office" w:hAnsi="Sennheiser Office" w:cs="Times New Roman"/>
          <w:sz w:val="18"/>
          <w:lang w:val="fr-FR"/>
        </w:rPr>
        <w:t>TeamConnect</w:t>
      </w:r>
      <w:proofErr w:type="spellEnd"/>
      <w:r w:rsidR="00CD1259" w:rsidRPr="00CD1259">
        <w:rPr>
          <w:rFonts w:ascii="Sennheiser Office" w:eastAsia="Sennheiser Office" w:hAnsi="Sennheiser Office" w:cs="Times New Roman"/>
          <w:sz w:val="18"/>
          <w:lang w:val="fr-FR"/>
        </w:rPr>
        <w:t xml:space="preserve"> </w:t>
      </w:r>
      <w:proofErr w:type="spellStart"/>
      <w:r w:rsidR="00CD1259" w:rsidRPr="00CD1259">
        <w:rPr>
          <w:rFonts w:ascii="Sennheiser Office" w:eastAsia="Sennheiser Office" w:hAnsi="Sennheiser Office" w:cs="Times New Roman"/>
          <w:sz w:val="18"/>
          <w:lang w:val="fr-FR"/>
        </w:rPr>
        <w:t>Ceiling</w:t>
      </w:r>
      <w:proofErr w:type="spellEnd"/>
      <w:r w:rsidR="00CD1259" w:rsidRPr="00CD1259">
        <w:rPr>
          <w:rFonts w:ascii="Sennheiser Office" w:eastAsia="Sennheiser Office" w:hAnsi="Sennheiser Office" w:cs="Times New Roman"/>
          <w:sz w:val="18"/>
          <w:lang w:val="fr-FR"/>
        </w:rPr>
        <w:t xml:space="preserve"> Medium (TCC M) et de relever les défis uniques de l'équipement approprié des amphithéâtres pouvant accueillir des centaines d'étudiants à la fois.</w:t>
      </w:r>
    </w:p>
    <w:p w14:paraId="05FED1DD" w14:textId="77777777" w:rsidR="000E45BB" w:rsidRPr="000E45BB" w:rsidRDefault="008F38F7" w:rsidP="000E45BB">
      <w:pPr>
        <w:pStyle w:val="About"/>
        <w:rPr>
          <w:rFonts w:ascii="Sennheiser Office" w:eastAsia="Sennheiser Office" w:hAnsi="Sennheiser Office" w:cs="Times New Roman"/>
          <w:b/>
          <w:bCs/>
        </w:rPr>
      </w:pPr>
      <w:r w:rsidRPr="00CD1259">
        <w:rPr>
          <w:rFonts w:ascii="Sennheiser Office" w:eastAsia="Sennheiser Office" w:hAnsi="Sennheiser Office" w:cs="Times New Roman"/>
          <w:lang w:val="fr-FR"/>
        </w:rPr>
        <w:br/>
      </w:r>
      <w:r w:rsidR="000E45BB" w:rsidRPr="000E45BB">
        <w:rPr>
          <w:rFonts w:ascii="Sennheiser Office" w:eastAsia="Sennheiser Office" w:hAnsi="Sennheiser Office" w:cs="Times New Roman"/>
          <w:b/>
          <w:bCs/>
        </w:rPr>
        <w:t xml:space="preserve">About Sennheiser </w:t>
      </w:r>
    </w:p>
    <w:p w14:paraId="75C06BF1" w14:textId="77777777" w:rsidR="00CD1259" w:rsidRDefault="00CD1259" w:rsidP="000E45BB">
      <w:pPr>
        <w:spacing w:after="0" w:line="240" w:lineRule="auto"/>
        <w:rPr>
          <w:rFonts w:ascii="Sennheiser Office" w:eastAsia="Sennheiser Office" w:hAnsi="Sennheiser Office" w:cs="Times New Roman"/>
          <w:sz w:val="18"/>
          <w:lang w:val="fr-FR"/>
        </w:rPr>
      </w:pPr>
      <w:r w:rsidRPr="00CD1259">
        <w:rPr>
          <w:rFonts w:ascii="Sennheiser Office" w:eastAsia="Sennheiser Office" w:hAnsi="Sennheiser Office" w:cs="Times New Roman"/>
          <w:sz w:val="18"/>
          <w:lang w:val="fr-FR"/>
        </w:rPr>
        <w:t xml:space="preserve">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CD1259">
        <w:rPr>
          <w:rFonts w:ascii="Sennheiser Office" w:eastAsia="Sennheiser Office" w:hAnsi="Sennheiser Office" w:cs="Times New Roman"/>
          <w:sz w:val="18"/>
          <w:lang w:val="fr-FR"/>
        </w:rPr>
        <w:t>electronic</w:t>
      </w:r>
      <w:proofErr w:type="spellEnd"/>
      <w:r w:rsidRPr="00CD1259">
        <w:rPr>
          <w:rFonts w:ascii="Sennheiser Office" w:eastAsia="Sennheiser Office" w:hAnsi="Sennheiser Office" w:cs="Times New Roman"/>
          <w:sz w:val="18"/>
          <w:lang w:val="fr-FR"/>
        </w:rPr>
        <w:t xml:space="preserve"> SE &amp; Co. KG. Tandis que les équipements grand public, comme les casques, les barres de son, les écouteurs et les aides auditives, sont développés et distribués par </w:t>
      </w:r>
      <w:proofErr w:type="spellStart"/>
      <w:r w:rsidRPr="00CD1259">
        <w:rPr>
          <w:rFonts w:ascii="Sennheiser Office" w:eastAsia="Sennheiser Office" w:hAnsi="Sennheiser Office" w:cs="Times New Roman"/>
          <w:sz w:val="18"/>
          <w:lang w:val="fr-FR"/>
        </w:rPr>
        <w:t>Sonova</w:t>
      </w:r>
      <w:proofErr w:type="spellEnd"/>
      <w:r w:rsidRPr="00CD1259">
        <w:rPr>
          <w:rFonts w:ascii="Sennheiser Office" w:eastAsia="Sennheiser Office" w:hAnsi="Sennheiser Office" w:cs="Times New Roman"/>
          <w:sz w:val="18"/>
          <w:lang w:val="fr-FR"/>
        </w:rPr>
        <w:t xml:space="preserve"> Holding AG sous la licence de Sennheiser. </w:t>
      </w:r>
    </w:p>
    <w:p w14:paraId="0C7BED48" w14:textId="53516C9C" w:rsidR="000E45BB" w:rsidRPr="000E45BB" w:rsidRDefault="00E725AC" w:rsidP="000E45BB">
      <w:pPr>
        <w:spacing w:after="0" w:line="240" w:lineRule="auto"/>
        <w:rPr>
          <w:rFonts w:ascii="Sennheiser Office" w:eastAsia="Sennheiser Office" w:hAnsi="Sennheiser Office" w:cs="Times New Roman"/>
          <w:color w:val="0095D5"/>
          <w:sz w:val="18"/>
          <w:szCs w:val="18"/>
        </w:rPr>
      </w:pPr>
      <w:hyperlink r:id="rId10" w:history="1">
        <w:r w:rsidR="000E45BB" w:rsidRPr="000E45BB">
          <w:rPr>
            <w:rFonts w:ascii="Sennheiser Office" w:eastAsia="Sennheiser Office" w:hAnsi="Sennheiser Office" w:cs="Times New Roman"/>
            <w:color w:val="0095D5"/>
            <w:sz w:val="18"/>
            <w:szCs w:val="18"/>
          </w:rPr>
          <w:t>www.sennheiser.com</w:t>
        </w:r>
      </w:hyperlink>
      <w:r w:rsidR="000E45BB" w:rsidRPr="000E45BB">
        <w:rPr>
          <w:rFonts w:ascii="Sennheiser Office" w:eastAsia="Sennheiser Office" w:hAnsi="Sennheiser Office" w:cs="Times New Roman"/>
          <w:color w:val="0095D5"/>
          <w:sz w:val="18"/>
          <w:szCs w:val="18"/>
        </w:rPr>
        <w:t xml:space="preserve"> </w:t>
      </w:r>
    </w:p>
    <w:p w14:paraId="47359A85" w14:textId="565FEB4A" w:rsidR="008F38F7" w:rsidRPr="00B516B2" w:rsidRDefault="00E725AC" w:rsidP="00B516B2">
      <w:pPr>
        <w:spacing w:after="0" w:line="240" w:lineRule="auto"/>
        <w:rPr>
          <w:rFonts w:ascii="Sennheiser Office" w:eastAsia="Sennheiser Office" w:hAnsi="Sennheiser Office" w:cs="Times New Roman"/>
          <w:color w:val="0095D5"/>
          <w:sz w:val="18"/>
          <w:szCs w:val="18"/>
        </w:rPr>
      </w:pPr>
      <w:hyperlink r:id="rId11" w:history="1">
        <w:r w:rsidR="000E45BB" w:rsidRPr="000E45BB">
          <w:rPr>
            <w:rFonts w:ascii="Sennheiser Office" w:eastAsia="Sennheiser Office" w:hAnsi="Sennheiser Office" w:cs="Times New Roman"/>
            <w:color w:val="0095D5"/>
            <w:sz w:val="18"/>
            <w:szCs w:val="18"/>
          </w:rPr>
          <w:t>www.sennheiser-hearing.com</w:t>
        </w:r>
      </w:hyperlink>
      <w:r w:rsidR="00B516B2">
        <w:rPr>
          <w:rFonts w:ascii="Sennheiser Office" w:eastAsia="Sennheiser Office" w:hAnsi="Sennheiser Office" w:cs="Times New Roman"/>
          <w:color w:val="0095D5"/>
          <w:sz w:val="18"/>
          <w:szCs w:val="18"/>
        </w:rPr>
        <w:br/>
      </w:r>
    </w:p>
    <w:p w14:paraId="603704B4" w14:textId="3966208B" w:rsidR="000E45BB" w:rsidRPr="000E45BB" w:rsidRDefault="000E45BB" w:rsidP="000E45BB">
      <w:pPr>
        <w:tabs>
          <w:tab w:val="left" w:pos="4111"/>
        </w:tabs>
        <w:spacing w:after="0" w:line="210" w:lineRule="atLeast"/>
        <w:rPr>
          <w:rFonts w:ascii="Sennheiser Office" w:eastAsia="Sennheiser Office" w:hAnsi="Sennheiser Office" w:cs="Times New Roman"/>
          <w:b/>
          <w:bCs/>
          <w:sz w:val="15"/>
        </w:rPr>
      </w:pPr>
      <w:r w:rsidRPr="000E45BB">
        <w:rPr>
          <w:rFonts w:ascii="Sennheiser Office" w:eastAsia="Sennheiser Office" w:hAnsi="Sennheiser Office" w:cs="Times New Roman"/>
          <w:b/>
          <w:bCs/>
          <w:sz w:val="15"/>
        </w:rPr>
        <w:t>Local Press Contact</w:t>
      </w:r>
    </w:p>
    <w:p w14:paraId="39BC4A87" w14:textId="77777777" w:rsidR="000E45BB" w:rsidRPr="000E45BB" w:rsidRDefault="000E45BB" w:rsidP="000E45BB">
      <w:pPr>
        <w:tabs>
          <w:tab w:val="left" w:pos="4111"/>
        </w:tabs>
        <w:spacing w:after="0" w:line="210" w:lineRule="atLeast"/>
        <w:rPr>
          <w:rFonts w:ascii="Sennheiser Office" w:eastAsia="Sennheiser Office" w:hAnsi="Sennheiser Office" w:cs="Times New Roman"/>
          <w:sz w:val="15"/>
        </w:rPr>
      </w:pPr>
      <w:r w:rsidRPr="000E45BB">
        <w:rPr>
          <w:rFonts w:ascii="Sennheiser Office" w:eastAsia="Sennheiser Office" w:hAnsi="Sennheiser Office" w:cs="Times New Roman"/>
          <w:sz w:val="15"/>
        </w:rPr>
        <w:t>Daniella Kohan</w:t>
      </w:r>
    </w:p>
    <w:p w14:paraId="0783EE6B" w14:textId="77777777" w:rsidR="000E45BB" w:rsidRPr="000E45BB" w:rsidRDefault="000E45BB" w:rsidP="000E45BB">
      <w:pPr>
        <w:tabs>
          <w:tab w:val="left" w:pos="4111"/>
        </w:tabs>
        <w:spacing w:after="0" w:line="210" w:lineRule="atLeast"/>
        <w:rPr>
          <w:rFonts w:ascii="Sennheiser Office" w:eastAsia="Sennheiser Office" w:hAnsi="Sennheiser Office" w:cs="Times New Roman"/>
          <w:sz w:val="15"/>
        </w:rPr>
      </w:pPr>
      <w:r w:rsidRPr="000E45BB">
        <w:rPr>
          <w:rFonts w:ascii="Sennheiser Office" w:eastAsia="Sennheiser Office" w:hAnsi="Sennheiser Office" w:cs="Times New Roman"/>
          <w:sz w:val="15"/>
        </w:rPr>
        <w:t>daniella.kohan@sennheiser.com</w:t>
      </w:r>
    </w:p>
    <w:p w14:paraId="6B5E3C63" w14:textId="77777777" w:rsidR="000E45BB" w:rsidRDefault="000E45BB" w:rsidP="000E45BB">
      <w:pPr>
        <w:tabs>
          <w:tab w:val="left" w:pos="4111"/>
        </w:tabs>
        <w:spacing w:after="0" w:line="210" w:lineRule="atLeast"/>
        <w:rPr>
          <w:rFonts w:ascii="Sennheiser Office" w:eastAsia="Sennheiser Office" w:hAnsi="Sennheiser Office" w:cs="Times New Roman"/>
          <w:sz w:val="15"/>
        </w:rPr>
      </w:pPr>
      <w:r w:rsidRPr="000E45BB">
        <w:rPr>
          <w:rFonts w:ascii="Sennheiser Office" w:eastAsia="Sennheiser Office" w:hAnsi="Sennheiser Office" w:cs="Times New Roman"/>
          <w:sz w:val="15"/>
        </w:rPr>
        <w:t>+1 (860) 222-4226</w:t>
      </w:r>
    </w:p>
    <w:p w14:paraId="17CBF7B5" w14:textId="77777777" w:rsidR="000E45BB" w:rsidRDefault="000E45BB" w:rsidP="000E45BB">
      <w:pPr>
        <w:tabs>
          <w:tab w:val="left" w:pos="4111"/>
        </w:tabs>
        <w:spacing w:after="0" w:line="210" w:lineRule="atLeast"/>
        <w:rPr>
          <w:rFonts w:ascii="Sennheiser Office" w:eastAsia="Sennheiser Office" w:hAnsi="Sennheiser Office" w:cs="Times New Roman"/>
          <w:sz w:val="15"/>
        </w:rPr>
      </w:pPr>
    </w:p>
    <w:p w14:paraId="44A50D62" w14:textId="4CF06B4D" w:rsidR="00DE2821" w:rsidRDefault="00DE2821" w:rsidP="000E45BB">
      <w:pPr>
        <w:tabs>
          <w:tab w:val="left" w:pos="4111"/>
        </w:tabs>
        <w:spacing w:after="0" w:line="210" w:lineRule="atLeast"/>
        <w:rPr>
          <w:rFonts w:ascii="Sennheiser Office" w:eastAsia="Sennheiser Office" w:hAnsi="Sennheiser Office" w:cs="Times New Roman"/>
          <w:sz w:val="15"/>
        </w:rPr>
      </w:pPr>
      <w:r w:rsidRPr="00DE2821">
        <w:rPr>
          <w:rFonts w:ascii="Sennheiser Office" w:eastAsia="Sennheiser Office" w:hAnsi="Sennheiser Office" w:cs="Times New Roman"/>
          <w:b/>
          <w:bCs/>
          <w:sz w:val="15"/>
        </w:rPr>
        <w:t>Global Press Contact</w:t>
      </w:r>
    </w:p>
    <w:p w14:paraId="3B4B3CC8" w14:textId="3EB837D7" w:rsidR="00DE2821" w:rsidRDefault="00DE2821" w:rsidP="000E45BB">
      <w:pPr>
        <w:tabs>
          <w:tab w:val="left" w:pos="4111"/>
        </w:tabs>
        <w:spacing w:after="0" w:line="210" w:lineRule="atLeast"/>
        <w:rPr>
          <w:rFonts w:ascii="Sennheiser Office" w:eastAsia="Sennheiser Office" w:hAnsi="Sennheiser Office" w:cs="Times New Roman"/>
          <w:sz w:val="15"/>
        </w:rPr>
      </w:pPr>
      <w:r>
        <w:rPr>
          <w:rFonts w:ascii="Sennheiser Office" w:eastAsia="Sennheiser Office" w:hAnsi="Sennheiser Office" w:cs="Times New Roman"/>
          <w:sz w:val="15"/>
        </w:rPr>
        <w:t xml:space="preserve">Jeff Horan </w:t>
      </w:r>
    </w:p>
    <w:p w14:paraId="1FD6874E" w14:textId="6E73DE39" w:rsidR="00DE2821" w:rsidRDefault="00DE2821" w:rsidP="000E45BB">
      <w:pPr>
        <w:tabs>
          <w:tab w:val="left" w:pos="4111"/>
        </w:tabs>
        <w:spacing w:after="0" w:line="210" w:lineRule="atLeast"/>
        <w:rPr>
          <w:rFonts w:ascii="Sennheiser Office" w:eastAsia="Sennheiser Office" w:hAnsi="Sennheiser Office" w:cs="Times New Roman"/>
          <w:sz w:val="15"/>
        </w:rPr>
      </w:pPr>
      <w:r>
        <w:rPr>
          <w:rFonts w:ascii="Sennheiser Office" w:eastAsia="Sennheiser Office" w:hAnsi="Sennheiser Office" w:cs="Times New Roman"/>
          <w:sz w:val="15"/>
        </w:rPr>
        <w:t>jeffrey.horan@sennheiser.com</w:t>
      </w:r>
    </w:p>
    <w:p w14:paraId="2DA9C871" w14:textId="28E156CE" w:rsidR="087D101D" w:rsidRPr="00DE2821" w:rsidRDefault="00DE2821" w:rsidP="008F38F7">
      <w:pPr>
        <w:spacing w:line="360" w:lineRule="auto"/>
        <w:rPr>
          <w:rFonts w:ascii="Arial" w:eastAsia="Arial" w:hAnsi="Arial" w:cs="Arial"/>
          <w:b/>
          <w:bCs/>
          <w:color w:val="000000" w:themeColor="text1"/>
          <w:sz w:val="24"/>
          <w:szCs w:val="24"/>
        </w:rPr>
      </w:pPr>
      <w:r w:rsidRPr="00DE2821">
        <w:rPr>
          <w:rFonts w:ascii="Sennheiser Office" w:eastAsia="Sennheiser Office" w:hAnsi="Sennheiser Office" w:cs="Times New Roman"/>
          <w:sz w:val="15"/>
        </w:rPr>
        <w:t>+1 860-598-7539</w:t>
      </w:r>
    </w:p>
    <w:sectPr w:rsidR="087D101D" w:rsidRPr="00DE28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446AE3"/>
    <w:rsid w:val="000C1EDF"/>
    <w:rsid w:val="000D4042"/>
    <w:rsid w:val="000E45BB"/>
    <w:rsid w:val="000F0132"/>
    <w:rsid w:val="001211D1"/>
    <w:rsid w:val="0026272B"/>
    <w:rsid w:val="003259A9"/>
    <w:rsid w:val="00390C2D"/>
    <w:rsid w:val="003D196D"/>
    <w:rsid w:val="00423558"/>
    <w:rsid w:val="005259D2"/>
    <w:rsid w:val="00557C55"/>
    <w:rsid w:val="00561893"/>
    <w:rsid w:val="005E6035"/>
    <w:rsid w:val="006960EA"/>
    <w:rsid w:val="00733B87"/>
    <w:rsid w:val="00737E6E"/>
    <w:rsid w:val="00761CE8"/>
    <w:rsid w:val="00835FDB"/>
    <w:rsid w:val="008F38F7"/>
    <w:rsid w:val="009102F5"/>
    <w:rsid w:val="00975E62"/>
    <w:rsid w:val="009925BF"/>
    <w:rsid w:val="009A1487"/>
    <w:rsid w:val="00A52B09"/>
    <w:rsid w:val="00A7538D"/>
    <w:rsid w:val="00AB7E86"/>
    <w:rsid w:val="00B30EFE"/>
    <w:rsid w:val="00B3367A"/>
    <w:rsid w:val="00B516B2"/>
    <w:rsid w:val="00B8603E"/>
    <w:rsid w:val="00CD1259"/>
    <w:rsid w:val="00D13628"/>
    <w:rsid w:val="00D8196D"/>
    <w:rsid w:val="00DE2821"/>
    <w:rsid w:val="00DE31A8"/>
    <w:rsid w:val="00E725AC"/>
    <w:rsid w:val="00F84716"/>
    <w:rsid w:val="05F99FDA"/>
    <w:rsid w:val="066B9D8E"/>
    <w:rsid w:val="087D101D"/>
    <w:rsid w:val="0A21B144"/>
    <w:rsid w:val="0BCC0717"/>
    <w:rsid w:val="0BD0F31E"/>
    <w:rsid w:val="0CFF946B"/>
    <w:rsid w:val="0D084B3F"/>
    <w:rsid w:val="0E316A08"/>
    <w:rsid w:val="1166ACEA"/>
    <w:rsid w:val="11E41BDB"/>
    <w:rsid w:val="11FA4194"/>
    <w:rsid w:val="1222935F"/>
    <w:rsid w:val="16028F74"/>
    <w:rsid w:val="163B7FF8"/>
    <w:rsid w:val="191C7269"/>
    <w:rsid w:val="1AB2500C"/>
    <w:rsid w:val="1B2825D2"/>
    <w:rsid w:val="1B9BF230"/>
    <w:rsid w:val="1BB57CD6"/>
    <w:rsid w:val="1FF93A10"/>
    <w:rsid w:val="224754F5"/>
    <w:rsid w:val="22DF9C94"/>
    <w:rsid w:val="234809F6"/>
    <w:rsid w:val="23A2D42C"/>
    <w:rsid w:val="27000B1F"/>
    <w:rsid w:val="28C407E8"/>
    <w:rsid w:val="291DB65C"/>
    <w:rsid w:val="2BF2F1D6"/>
    <w:rsid w:val="2C6CD143"/>
    <w:rsid w:val="2E24025C"/>
    <w:rsid w:val="3179CB5D"/>
    <w:rsid w:val="324C97CD"/>
    <w:rsid w:val="3277A7D3"/>
    <w:rsid w:val="375E25C8"/>
    <w:rsid w:val="3820FB84"/>
    <w:rsid w:val="3D17CF66"/>
    <w:rsid w:val="3E9A97FD"/>
    <w:rsid w:val="3F455C51"/>
    <w:rsid w:val="3FD4BA4B"/>
    <w:rsid w:val="409A33F6"/>
    <w:rsid w:val="4196C2ED"/>
    <w:rsid w:val="44063B1A"/>
    <w:rsid w:val="4579B7D5"/>
    <w:rsid w:val="4629743B"/>
    <w:rsid w:val="480744A4"/>
    <w:rsid w:val="4903E5A9"/>
    <w:rsid w:val="493059FA"/>
    <w:rsid w:val="4BF61897"/>
    <w:rsid w:val="4C336AFC"/>
    <w:rsid w:val="4EFC7986"/>
    <w:rsid w:val="4FB4D13F"/>
    <w:rsid w:val="50178EAA"/>
    <w:rsid w:val="52204FBB"/>
    <w:rsid w:val="53074BFE"/>
    <w:rsid w:val="5316E8A6"/>
    <w:rsid w:val="5378BB35"/>
    <w:rsid w:val="57901883"/>
    <w:rsid w:val="599D8F03"/>
    <w:rsid w:val="5B446AE3"/>
    <w:rsid w:val="5E8125FF"/>
    <w:rsid w:val="60E18A17"/>
    <w:rsid w:val="61E7007F"/>
    <w:rsid w:val="6330E038"/>
    <w:rsid w:val="659116D5"/>
    <w:rsid w:val="67FF31FD"/>
    <w:rsid w:val="68A4CC5B"/>
    <w:rsid w:val="693E2FA3"/>
    <w:rsid w:val="6A3928A5"/>
    <w:rsid w:val="6C48FBE0"/>
    <w:rsid w:val="6EACCE21"/>
    <w:rsid w:val="6FCEBC02"/>
    <w:rsid w:val="71404472"/>
    <w:rsid w:val="732C68A1"/>
    <w:rsid w:val="7D364079"/>
    <w:rsid w:val="7E5DB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6AE3"/>
  <w15:chartTrackingRefBased/>
  <w15:docId w15:val="{4CBBC327-1D6E-455E-B14E-7D18B15E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F38F7"/>
    <w:pPr>
      <w:spacing w:after="0" w:line="240" w:lineRule="auto"/>
    </w:pPr>
  </w:style>
  <w:style w:type="paragraph" w:styleId="CommentSubject">
    <w:name w:val="annotation subject"/>
    <w:basedOn w:val="CommentText"/>
    <w:next w:val="CommentText"/>
    <w:link w:val="CommentSubjectChar"/>
    <w:uiPriority w:val="99"/>
    <w:semiHidden/>
    <w:unhideWhenUsed/>
    <w:rsid w:val="000E45BB"/>
    <w:rPr>
      <w:b/>
      <w:bCs/>
    </w:rPr>
  </w:style>
  <w:style w:type="character" w:customStyle="1" w:styleId="CommentSubjectChar">
    <w:name w:val="Comment Subject Char"/>
    <w:basedOn w:val="CommentTextChar"/>
    <w:link w:val="CommentSubject"/>
    <w:uiPriority w:val="99"/>
    <w:semiHidden/>
    <w:rsid w:val="000E45BB"/>
    <w:rPr>
      <w:b/>
      <w:bCs/>
      <w:sz w:val="20"/>
      <w:szCs w:val="20"/>
    </w:rPr>
  </w:style>
  <w:style w:type="paragraph" w:customStyle="1" w:styleId="About">
    <w:name w:val="About"/>
    <w:basedOn w:val="Normal"/>
    <w:qFormat/>
    <w:rsid w:val="000E45BB"/>
    <w:pPr>
      <w:spacing w:after="0" w:line="240" w:lineRule="auto"/>
    </w:pPr>
    <w:rPr>
      <w:sz w:val="18"/>
    </w:rPr>
  </w:style>
  <w:style w:type="paragraph" w:styleId="NormalWeb">
    <w:name w:val="Normal (Web)"/>
    <w:basedOn w:val="Normal"/>
    <w:uiPriority w:val="99"/>
    <w:semiHidden/>
    <w:unhideWhenUsed/>
    <w:rsid w:val="009925B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D4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119">
      <w:bodyDiv w:val="1"/>
      <w:marLeft w:val="0"/>
      <w:marRight w:val="0"/>
      <w:marTop w:val="0"/>
      <w:marBottom w:val="0"/>
      <w:divBdr>
        <w:top w:val="none" w:sz="0" w:space="0" w:color="auto"/>
        <w:left w:val="none" w:sz="0" w:space="0" w:color="auto"/>
        <w:bottom w:val="none" w:sz="0" w:space="0" w:color="auto"/>
        <w:right w:val="none" w:sz="0" w:space="0" w:color="auto"/>
      </w:divBdr>
    </w:div>
    <w:div w:id="1156340396">
      <w:bodyDiv w:val="1"/>
      <w:marLeft w:val="0"/>
      <w:marRight w:val="0"/>
      <w:marTop w:val="0"/>
      <w:marBottom w:val="0"/>
      <w:divBdr>
        <w:top w:val="none" w:sz="0" w:space="0" w:color="auto"/>
        <w:left w:val="none" w:sz="0" w:space="0" w:color="auto"/>
        <w:bottom w:val="none" w:sz="0" w:space="0" w:color="auto"/>
        <w:right w:val="none" w:sz="0" w:space="0" w:color="auto"/>
      </w:divBdr>
    </w:div>
    <w:div w:id="1211915558">
      <w:bodyDiv w:val="1"/>
      <w:marLeft w:val="0"/>
      <w:marRight w:val="0"/>
      <w:marTop w:val="0"/>
      <w:marBottom w:val="0"/>
      <w:divBdr>
        <w:top w:val="none" w:sz="0" w:space="0" w:color="auto"/>
        <w:left w:val="none" w:sz="0" w:space="0" w:color="auto"/>
        <w:bottom w:val="none" w:sz="0" w:space="0" w:color="auto"/>
        <w:right w:val="none" w:sz="0" w:space="0" w:color="auto"/>
      </w:divBdr>
    </w:div>
    <w:div w:id="1221017494">
      <w:bodyDiv w:val="1"/>
      <w:marLeft w:val="0"/>
      <w:marRight w:val="0"/>
      <w:marTop w:val="0"/>
      <w:marBottom w:val="0"/>
      <w:divBdr>
        <w:top w:val="none" w:sz="0" w:space="0" w:color="auto"/>
        <w:left w:val="none" w:sz="0" w:space="0" w:color="auto"/>
        <w:bottom w:val="none" w:sz="0" w:space="0" w:color="auto"/>
        <w:right w:val="none" w:sz="0" w:space="0" w:color="auto"/>
      </w:divBdr>
      <w:divsChild>
        <w:div w:id="2132089810">
          <w:marLeft w:val="0"/>
          <w:marRight w:val="0"/>
          <w:marTop w:val="0"/>
          <w:marBottom w:val="0"/>
          <w:divBdr>
            <w:top w:val="single" w:sz="2" w:space="0" w:color="E3E3E3"/>
            <w:left w:val="single" w:sz="2" w:space="0" w:color="E3E3E3"/>
            <w:bottom w:val="single" w:sz="2" w:space="0" w:color="E3E3E3"/>
            <w:right w:val="single" w:sz="2" w:space="0" w:color="E3E3E3"/>
          </w:divBdr>
          <w:divsChild>
            <w:div w:id="1746026363">
              <w:marLeft w:val="0"/>
              <w:marRight w:val="0"/>
              <w:marTop w:val="0"/>
              <w:marBottom w:val="0"/>
              <w:divBdr>
                <w:top w:val="single" w:sz="2" w:space="0" w:color="E3E3E3"/>
                <w:left w:val="single" w:sz="2" w:space="0" w:color="E3E3E3"/>
                <w:bottom w:val="single" w:sz="2" w:space="0" w:color="E3E3E3"/>
                <w:right w:val="single" w:sz="2" w:space="0" w:color="E3E3E3"/>
              </w:divBdr>
              <w:divsChild>
                <w:div w:id="1356492934">
                  <w:marLeft w:val="0"/>
                  <w:marRight w:val="0"/>
                  <w:marTop w:val="0"/>
                  <w:marBottom w:val="0"/>
                  <w:divBdr>
                    <w:top w:val="single" w:sz="2" w:space="0" w:color="E3E3E3"/>
                    <w:left w:val="single" w:sz="2" w:space="0" w:color="E3E3E3"/>
                    <w:bottom w:val="single" w:sz="2" w:space="0" w:color="E3E3E3"/>
                    <w:right w:val="single" w:sz="2" w:space="0" w:color="E3E3E3"/>
                  </w:divBdr>
                  <w:divsChild>
                    <w:div w:id="2140998959">
                      <w:marLeft w:val="0"/>
                      <w:marRight w:val="0"/>
                      <w:marTop w:val="0"/>
                      <w:marBottom w:val="0"/>
                      <w:divBdr>
                        <w:top w:val="single" w:sz="2" w:space="0" w:color="E3E3E3"/>
                        <w:left w:val="single" w:sz="2" w:space="0" w:color="E3E3E3"/>
                        <w:bottom w:val="single" w:sz="2" w:space="0" w:color="E3E3E3"/>
                        <w:right w:val="single" w:sz="2" w:space="0" w:color="E3E3E3"/>
                      </w:divBdr>
                      <w:divsChild>
                        <w:div w:id="1890142350">
                          <w:marLeft w:val="0"/>
                          <w:marRight w:val="0"/>
                          <w:marTop w:val="0"/>
                          <w:marBottom w:val="0"/>
                          <w:divBdr>
                            <w:top w:val="single" w:sz="2" w:space="0" w:color="E3E3E3"/>
                            <w:left w:val="single" w:sz="2" w:space="0" w:color="E3E3E3"/>
                            <w:bottom w:val="single" w:sz="2" w:space="0" w:color="E3E3E3"/>
                            <w:right w:val="single" w:sz="2" w:space="0" w:color="E3E3E3"/>
                          </w:divBdr>
                          <w:divsChild>
                            <w:div w:id="1194535605">
                              <w:marLeft w:val="0"/>
                              <w:marRight w:val="0"/>
                              <w:marTop w:val="100"/>
                              <w:marBottom w:val="100"/>
                              <w:divBdr>
                                <w:top w:val="single" w:sz="2" w:space="0" w:color="E3E3E3"/>
                                <w:left w:val="single" w:sz="2" w:space="0" w:color="E3E3E3"/>
                                <w:bottom w:val="single" w:sz="2" w:space="0" w:color="E3E3E3"/>
                                <w:right w:val="single" w:sz="2" w:space="0" w:color="E3E3E3"/>
                              </w:divBdr>
                              <w:divsChild>
                                <w:div w:id="1622490565">
                                  <w:marLeft w:val="0"/>
                                  <w:marRight w:val="0"/>
                                  <w:marTop w:val="0"/>
                                  <w:marBottom w:val="0"/>
                                  <w:divBdr>
                                    <w:top w:val="single" w:sz="2" w:space="0" w:color="E3E3E3"/>
                                    <w:left w:val="single" w:sz="2" w:space="0" w:color="E3E3E3"/>
                                    <w:bottom w:val="single" w:sz="2" w:space="0" w:color="E3E3E3"/>
                                    <w:right w:val="single" w:sz="2" w:space="0" w:color="E3E3E3"/>
                                  </w:divBdr>
                                  <w:divsChild>
                                    <w:div w:id="391973881">
                                      <w:marLeft w:val="0"/>
                                      <w:marRight w:val="0"/>
                                      <w:marTop w:val="0"/>
                                      <w:marBottom w:val="0"/>
                                      <w:divBdr>
                                        <w:top w:val="single" w:sz="2" w:space="0" w:color="E3E3E3"/>
                                        <w:left w:val="single" w:sz="2" w:space="0" w:color="E3E3E3"/>
                                        <w:bottom w:val="single" w:sz="2" w:space="0" w:color="E3E3E3"/>
                                        <w:right w:val="single" w:sz="2" w:space="0" w:color="E3E3E3"/>
                                      </w:divBdr>
                                      <w:divsChild>
                                        <w:div w:id="593366648">
                                          <w:marLeft w:val="0"/>
                                          <w:marRight w:val="0"/>
                                          <w:marTop w:val="0"/>
                                          <w:marBottom w:val="0"/>
                                          <w:divBdr>
                                            <w:top w:val="single" w:sz="2" w:space="0" w:color="E3E3E3"/>
                                            <w:left w:val="single" w:sz="2" w:space="0" w:color="E3E3E3"/>
                                            <w:bottom w:val="single" w:sz="2" w:space="0" w:color="E3E3E3"/>
                                            <w:right w:val="single" w:sz="2" w:space="0" w:color="E3E3E3"/>
                                          </w:divBdr>
                                          <w:divsChild>
                                            <w:div w:id="871574128">
                                              <w:marLeft w:val="0"/>
                                              <w:marRight w:val="0"/>
                                              <w:marTop w:val="0"/>
                                              <w:marBottom w:val="0"/>
                                              <w:divBdr>
                                                <w:top w:val="single" w:sz="2" w:space="0" w:color="E3E3E3"/>
                                                <w:left w:val="single" w:sz="2" w:space="0" w:color="E3E3E3"/>
                                                <w:bottom w:val="single" w:sz="2" w:space="0" w:color="E3E3E3"/>
                                                <w:right w:val="single" w:sz="2" w:space="0" w:color="E3E3E3"/>
                                              </w:divBdr>
                                              <w:divsChild>
                                                <w:div w:id="126776813">
                                                  <w:marLeft w:val="0"/>
                                                  <w:marRight w:val="0"/>
                                                  <w:marTop w:val="0"/>
                                                  <w:marBottom w:val="0"/>
                                                  <w:divBdr>
                                                    <w:top w:val="single" w:sz="2" w:space="0" w:color="E3E3E3"/>
                                                    <w:left w:val="single" w:sz="2" w:space="0" w:color="E3E3E3"/>
                                                    <w:bottom w:val="single" w:sz="2" w:space="0" w:color="E3E3E3"/>
                                                    <w:right w:val="single" w:sz="2" w:space="0" w:color="E3E3E3"/>
                                                  </w:divBdr>
                                                  <w:divsChild>
                                                    <w:div w:id="19237538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23557074">
          <w:marLeft w:val="0"/>
          <w:marRight w:val="0"/>
          <w:marTop w:val="0"/>
          <w:marBottom w:val="0"/>
          <w:divBdr>
            <w:top w:val="none" w:sz="0" w:space="0" w:color="auto"/>
            <w:left w:val="none" w:sz="0" w:space="0" w:color="auto"/>
            <w:bottom w:val="none" w:sz="0" w:space="0" w:color="auto"/>
            <w:right w:val="none" w:sz="0" w:space="0" w:color="auto"/>
          </w:divBdr>
        </w:div>
      </w:divsChild>
    </w:div>
    <w:div w:id="148662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nnheiser-hearing.com" TargetMode="External"/><Relationship Id="rId5" Type="http://schemas.openxmlformats.org/officeDocument/2006/relationships/settings" Target="settings.xml"/><Relationship Id="rId10" Type="http://schemas.openxmlformats.org/officeDocument/2006/relationships/hyperlink" Target="http://www.sennheiser.com"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36D23B-BA57-4D0F-BA3A-E02FC3875A39}">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ED6C6302-70A5-4C74-9A86-99B44EACFBD9}">
  <ds:schemaRefs>
    <ds:schemaRef ds:uri="http://schemas.microsoft.com/sharepoint/v3/contenttype/forms"/>
  </ds:schemaRefs>
</ds:datastoreItem>
</file>

<file path=customXml/itemProps3.xml><?xml version="1.0" encoding="utf-8"?>
<ds:datastoreItem xmlns:ds="http://schemas.openxmlformats.org/officeDocument/2006/customXml" ds:itemID="{7CD181E9-599B-449B-9D84-E2483ADE6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1032</Words>
  <Characters>5887</Characters>
  <Application>Microsoft Office Word</Application>
  <DocSecurity>4</DocSecurity>
  <Lines>49</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Kroon</dc:creator>
  <cp:keywords/>
  <dc:description/>
  <cp:lastModifiedBy>Kohan, Daniella</cp:lastModifiedBy>
  <cp:revision>2</cp:revision>
  <dcterms:created xsi:type="dcterms:W3CDTF">2024-02-27T12:20:00Z</dcterms:created>
  <dcterms:modified xsi:type="dcterms:W3CDTF">2024-02-27T12:20:00Z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ies>
</file>